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0" w:lineRule="atLeast"/>
        <w:jc w:val="center"/>
        <w:rPr>
          <w:rFonts w:ascii="方正大标宋简体" w:hAnsi="方正大标宋简体" w:eastAsia="方正大标宋简体" w:cs="宋体"/>
          <w:color w:val="FF0000"/>
          <w:spacing w:val="-20"/>
          <w:w w:val="39"/>
          <w:kern w:val="0"/>
          <w:sz w:val="126"/>
          <w:szCs w:val="126"/>
        </w:rPr>
      </w:pPr>
      <w:r>
        <w:rPr>
          <w:rFonts w:hint="eastAsia" w:ascii="方正大标宋简体" w:hAnsi="方正大标宋简体" w:eastAsia="方正大标宋简体" w:cs="宋体"/>
          <w:color w:val="FF0000"/>
          <w:spacing w:val="-20"/>
          <w:w w:val="39"/>
          <w:kern w:val="0"/>
          <w:sz w:val="126"/>
          <w:szCs w:val="126"/>
        </w:rPr>
        <w:t>山东省中国</w:t>
      </w:r>
      <w:r>
        <w:rPr>
          <w:rFonts w:ascii="方正大标宋简体" w:hAnsi="方正大标宋简体" w:eastAsia="方正大标宋简体" w:cs="宋体"/>
          <w:color w:val="FF0000"/>
          <w:spacing w:val="-20"/>
          <w:w w:val="39"/>
          <w:kern w:val="0"/>
          <w:sz w:val="126"/>
          <w:szCs w:val="126"/>
        </w:rPr>
        <w:t>石油大学</w:t>
      </w:r>
      <w:r>
        <w:rPr>
          <w:rFonts w:hint="eastAsia" w:ascii="方正大标宋简体" w:hAnsi="方正大标宋简体" w:eastAsia="方正大标宋简体" w:cs="宋体"/>
          <w:color w:val="FF0000"/>
          <w:spacing w:val="-20"/>
          <w:w w:val="39"/>
          <w:kern w:val="0"/>
          <w:sz w:val="126"/>
          <w:szCs w:val="126"/>
        </w:rPr>
        <w:t>教育发展基金</w:t>
      </w:r>
      <w:r>
        <w:rPr>
          <w:rFonts w:ascii="方正大标宋简体" w:hAnsi="方正大标宋简体" w:eastAsia="方正大标宋简体" w:cs="宋体"/>
          <w:color w:val="FF0000"/>
          <w:spacing w:val="-20"/>
          <w:w w:val="39"/>
          <w:kern w:val="0"/>
          <w:sz w:val="126"/>
          <w:szCs w:val="126"/>
        </w:rPr>
        <w:t>会</w:t>
      </w:r>
      <w:r>
        <w:rPr>
          <w:rFonts w:hint="eastAsia" w:ascii="方正大标宋简体" w:hAnsi="方正大标宋简体" w:eastAsia="方正大标宋简体" w:cs="宋体"/>
          <w:color w:val="FF0000"/>
          <w:spacing w:val="-20"/>
          <w:w w:val="39"/>
          <w:kern w:val="0"/>
          <w:sz w:val="126"/>
          <w:szCs w:val="126"/>
        </w:rPr>
        <w:t>文件</w:t>
      </w:r>
    </w:p>
    <w:p>
      <w:pPr>
        <w:widowControl/>
        <w:spacing w:line="0" w:lineRule="atLeast"/>
        <w:jc w:val="center"/>
        <w:rPr>
          <w:w w:val="66"/>
        </w:rPr>
      </w:pPr>
      <w:r>
        <w:rPr>
          <w:rFonts w:hint="eastAsia" w:ascii="方正大标宋简体" w:hAnsi="方正大标宋简体" w:eastAsia="方正大标宋简体" w:cs="宋体"/>
          <w:color w:val="FF0000"/>
          <w:kern w:val="0"/>
          <w:sz w:val="86"/>
          <w:szCs w:val="86"/>
          <w:u w:val="thick"/>
        </w:rPr>
        <mc:AlternateContent>
          <mc:Choice Requires="wps">
            <w:drawing>
              <wp:anchor distT="0" distB="0" distL="114300" distR="114300" simplePos="0" relativeHeight="251659264" behindDoc="0" locked="0" layoutInCell="1" allowOverlap="1">
                <wp:simplePos x="0" y="0"/>
                <wp:positionH relativeFrom="column">
                  <wp:posOffset>-128270</wp:posOffset>
                </wp:positionH>
                <wp:positionV relativeFrom="paragraph">
                  <wp:posOffset>9525</wp:posOffset>
                </wp:positionV>
                <wp:extent cx="5762625" cy="28575"/>
                <wp:effectExtent l="0" t="15875" r="13335" b="1651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5762625" cy="28575"/>
                        </a:xfrm>
                        <a:prstGeom prst="line">
                          <a:avLst/>
                        </a:prstGeom>
                        <a:noFill/>
                        <a:ln w="31750">
                          <a:solidFill>
                            <a:srgbClr val="FF0000"/>
                          </a:solidFill>
                          <a:round/>
                        </a:ln>
                      </wps:spPr>
                      <wps:bodyPr/>
                    </wps:wsp>
                  </a:graphicData>
                </a:graphic>
              </wp:anchor>
            </w:drawing>
          </mc:Choice>
          <mc:Fallback>
            <w:pict>
              <v:line id="_x0000_s1026" o:spid="_x0000_s1026" o:spt="20" style="position:absolute;left:0pt;flip:y;margin-left:-10.1pt;margin-top:0.75pt;height:2.25pt;width:453.75pt;z-index:251659264;mso-width-relative:page;mso-height-relative:page;" filled="f" stroked="t" coordsize="21600,21600" o:gfxdata="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N4T8dUAAAAHAQAADwAAAAAAAAABACAAAAAiAAAAZHJzL2Rvd25yZXYueG1sUEsBAhQAFAAA&#10;AAgAh07iQI6+qBzyAQAAuQMAAA4AAAAAAAAAAQAgAAAAJAEAAGRycy9lMm9Eb2MueG1sUEsFBgAA&#10;AAAGAAYAWQEAAIgFAAAAAA==&#10;">
                <v:fill on="f" focussize="0,0"/>
                <v:stroke weight="2.5pt" color="#FF0000" joinstyle="round"/>
                <v:imagedata o:title=""/>
                <o:lock v:ext="edit" aspectratio="f"/>
              </v:line>
            </w:pict>
          </mc:Fallback>
        </mc:AlternateContent>
      </w:r>
    </w:p>
    <w:p>
      <w:pPr>
        <w:jc w:val="center"/>
        <w:rPr>
          <w:rFonts w:ascii="黑体" w:eastAsia="黑体"/>
          <w:bCs/>
          <w:sz w:val="32"/>
          <w:szCs w:val="30"/>
        </w:rPr>
      </w:pPr>
      <w:r>
        <w:rPr>
          <w:rFonts w:hint="eastAsia" w:ascii="方正公文小标宋" w:hAnsi="方正公文小标宋" w:eastAsia="方正公文小标宋" w:cs="方正公文小标宋"/>
          <w:b w:val="0"/>
          <w:bCs/>
          <w:sz w:val="36"/>
          <w:szCs w:val="36"/>
        </w:rPr>
        <w:t>“青岛太平洋新天地助学金”实施细则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青岛太平洋新天地置业有限公司为帮助我校部分家庭经济困难学生顺利完成学业，</w:t>
      </w:r>
      <w:r>
        <w:rPr>
          <w:rFonts w:hint="eastAsia" w:ascii="仿宋_GB2312" w:hAnsi="宋体" w:eastAsia="仿宋_GB2312" w:cs="宋体"/>
          <w:kern w:val="0"/>
          <w:sz w:val="32"/>
          <w:szCs w:val="32"/>
          <w:lang w:val="en-US" w:eastAsia="zh-CN"/>
        </w:rPr>
        <w:t>于2020年向我校基金会捐赠50万元，</w:t>
      </w:r>
      <w:r>
        <w:rPr>
          <w:rFonts w:hint="eastAsia" w:ascii="仿宋_GB2312" w:hAnsi="宋体" w:eastAsia="仿宋_GB2312" w:cs="宋体"/>
          <w:kern w:val="0"/>
          <w:sz w:val="32"/>
          <w:szCs w:val="32"/>
        </w:rPr>
        <w:t>在我校设立青岛太平洋新天地助学金。为保证助学金评选工作的规范化、科学化，特制定本实施细则。</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一、助学金资助额度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助学金为人民币100000元/年</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共发放5年，时间期限为2020年至2024年</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二、资助对象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全日制在校生中的家庭经济困难学生。</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三、资助人数和标准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每年资助学生50名，每人资助金额为2000元。</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四、资助对象的评选标准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具有中华人民共和国国籍；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热爱社会主义祖国，拥护中国共产党的领导；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遵守宪法和法律，无违法违规记录；遵守学校规章制度，未受警告及以上处分；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诚实守信，道德品质优良；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勤奋学习，积极上进；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家庭经济困难，生活俭朴。</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五、组织实施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中国石油大学（华东）教育基金管理委员会办公室9月底下达评选指标并向各相关学院下发评选通知。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各学院根据申请，按照标准进行初步筛选和推荐。10月下旬，各学院将《青岛太平洋新天地助学金申请表》报党委</w:t>
      </w:r>
      <w:bookmarkStart w:id="0" w:name="_GoBack"/>
      <w:bookmarkEnd w:id="0"/>
      <w:r>
        <w:rPr>
          <w:rFonts w:hint="eastAsia" w:ascii="仿宋_GB2312" w:hAnsi="宋体" w:eastAsia="仿宋_GB2312" w:cs="宋体"/>
          <w:kern w:val="0"/>
          <w:sz w:val="32"/>
          <w:szCs w:val="32"/>
        </w:rPr>
        <w:t>学生工作部（</w:t>
      </w:r>
      <w:r>
        <w:rPr>
          <w:rFonts w:hint="eastAsia" w:ascii="仿宋_GB2312" w:hAnsi="宋体" w:eastAsia="仿宋_GB2312" w:cs="宋体"/>
          <w:kern w:val="0"/>
          <w:sz w:val="32"/>
          <w:szCs w:val="32"/>
          <w:lang w:val="en-US" w:eastAsia="zh-CN"/>
        </w:rPr>
        <w:t>武装部</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中国石油大学（华东）教育基金管理委员会办公室在11月底完成评审工作，并将评审结果上报中国石油大学（华东）教育基金管理委员会审定，审定后的结果反馈给青岛太平洋新天地置业有限公司。</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六、</w:t>
      </w:r>
      <w:r>
        <w:rPr>
          <w:rFonts w:hint="eastAsia" w:ascii="仿宋_GB2312" w:hAnsi="宋体" w:eastAsia="仿宋_GB2312" w:cs="宋体"/>
          <w:kern w:val="0"/>
          <w:sz w:val="32"/>
          <w:szCs w:val="32"/>
        </w:rPr>
        <w:t>助学金原则上在每年12月份统一发放。</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七、</w:t>
      </w:r>
      <w:r>
        <w:rPr>
          <w:rFonts w:hint="eastAsia" w:ascii="仿宋_GB2312" w:hAnsi="宋体" w:eastAsia="仿宋_GB2312" w:cs="宋体"/>
          <w:kern w:val="0"/>
          <w:sz w:val="32"/>
          <w:szCs w:val="32"/>
        </w:rPr>
        <w:t>本实施细则由山东省中国石油大学教育发展基金会负责解释和修订。</w:t>
      </w:r>
    </w:p>
    <w:p>
      <w:pPr>
        <w:spacing w:line="540" w:lineRule="exact"/>
        <w:ind w:right="1120" w:firstLine="645"/>
        <w:jc w:val="right"/>
        <w:rPr>
          <w:rFonts w:ascii="仿宋_GB2312" w:hAnsi="仿宋" w:eastAsia="仿宋_GB2312"/>
          <w:sz w:val="28"/>
          <w:szCs w:val="28"/>
        </w:rPr>
      </w:pPr>
    </w:p>
    <w:p>
      <w:pPr>
        <w:spacing w:line="540" w:lineRule="exact"/>
        <w:ind w:right="1120" w:firstLine="645"/>
        <w:jc w:val="right"/>
        <w:rPr>
          <w:rFonts w:hint="eastAsia" w:ascii="仿宋_GB2312" w:hAnsi="仿宋" w:eastAsia="仿宋_GB2312"/>
          <w:sz w:val="28"/>
          <w:szCs w:val="28"/>
        </w:rPr>
      </w:pP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山东省中国石油大学教育发展基金会</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2020年11月9日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9D8B19-813E-41AF-BA01-18ED9F13C3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2EA483C-712F-4EE5-9843-EAD95B4B2270}"/>
  </w:font>
  <w:font w:name="方正大标宋简体">
    <w:panose1 w:val="02010601030101010101"/>
    <w:charset w:val="86"/>
    <w:family w:val="script"/>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3" w:fontKey="{B9254D45-9683-4379-87B5-B1BF91446766}"/>
  </w:font>
  <w:font w:name="仿宋_GB2312">
    <w:panose1 w:val="02010609030101010101"/>
    <w:charset w:val="86"/>
    <w:family w:val="modern"/>
    <w:pitch w:val="default"/>
    <w:sig w:usb0="00000001" w:usb1="080E0000" w:usb2="00000000" w:usb3="00000000" w:csb0="00040000" w:csb1="00000000"/>
    <w:embedRegular r:id="rId4" w:fontKey="{1523C01F-1C47-4F90-8227-8BE9F80F515F}"/>
  </w:font>
  <w:font w:name="仿宋">
    <w:panose1 w:val="02010609060101010101"/>
    <w:charset w:val="86"/>
    <w:family w:val="modern"/>
    <w:pitch w:val="default"/>
    <w:sig w:usb0="800002BF" w:usb1="38CF7CFA" w:usb2="00000016" w:usb3="00000000" w:csb0="00040001" w:csb1="00000000"/>
    <w:embedRegular r:id="rId5" w:fontKey="{501DA864-59B1-4760-B2AC-2D68566E79FD}"/>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lZTY1YjlhY2UzYWNjNDMzN2U5NjcxNzI2ZGI3YTMifQ=="/>
  </w:docVars>
  <w:rsids>
    <w:rsidRoot w:val="00BE6776"/>
    <w:rsid w:val="00000E17"/>
    <w:rsid w:val="00026F61"/>
    <w:rsid w:val="0004121A"/>
    <w:rsid w:val="00057084"/>
    <w:rsid w:val="000615B4"/>
    <w:rsid w:val="00080560"/>
    <w:rsid w:val="000821A3"/>
    <w:rsid w:val="00094B45"/>
    <w:rsid w:val="000F3505"/>
    <w:rsid w:val="000F3AEC"/>
    <w:rsid w:val="00125301"/>
    <w:rsid w:val="001328AE"/>
    <w:rsid w:val="00144633"/>
    <w:rsid w:val="0016533D"/>
    <w:rsid w:val="00173CC3"/>
    <w:rsid w:val="001C06D4"/>
    <w:rsid w:val="001D3DBA"/>
    <w:rsid w:val="001E52AB"/>
    <w:rsid w:val="001E6E87"/>
    <w:rsid w:val="002021BC"/>
    <w:rsid w:val="002100C9"/>
    <w:rsid w:val="0021519D"/>
    <w:rsid w:val="00223703"/>
    <w:rsid w:val="00236BD1"/>
    <w:rsid w:val="00253186"/>
    <w:rsid w:val="002818C1"/>
    <w:rsid w:val="002A2871"/>
    <w:rsid w:val="002A3D5D"/>
    <w:rsid w:val="002B2D2C"/>
    <w:rsid w:val="002D7025"/>
    <w:rsid w:val="003054A9"/>
    <w:rsid w:val="00333902"/>
    <w:rsid w:val="00370FFC"/>
    <w:rsid w:val="00375188"/>
    <w:rsid w:val="0038696F"/>
    <w:rsid w:val="003B61A2"/>
    <w:rsid w:val="00411E12"/>
    <w:rsid w:val="00424E9A"/>
    <w:rsid w:val="0044451A"/>
    <w:rsid w:val="00457F08"/>
    <w:rsid w:val="004679B4"/>
    <w:rsid w:val="004C01C9"/>
    <w:rsid w:val="00512230"/>
    <w:rsid w:val="005223A2"/>
    <w:rsid w:val="00534B3C"/>
    <w:rsid w:val="0056035E"/>
    <w:rsid w:val="00593148"/>
    <w:rsid w:val="005A05F0"/>
    <w:rsid w:val="005D6153"/>
    <w:rsid w:val="005E6550"/>
    <w:rsid w:val="00654C3D"/>
    <w:rsid w:val="00660478"/>
    <w:rsid w:val="006670F0"/>
    <w:rsid w:val="00676458"/>
    <w:rsid w:val="00695308"/>
    <w:rsid w:val="006A169E"/>
    <w:rsid w:val="006A6303"/>
    <w:rsid w:val="006B1941"/>
    <w:rsid w:val="006B3A6A"/>
    <w:rsid w:val="006B40CF"/>
    <w:rsid w:val="006D3B2F"/>
    <w:rsid w:val="006D4225"/>
    <w:rsid w:val="00700031"/>
    <w:rsid w:val="00770B46"/>
    <w:rsid w:val="00794ECC"/>
    <w:rsid w:val="007C23D4"/>
    <w:rsid w:val="007E2F95"/>
    <w:rsid w:val="008034AA"/>
    <w:rsid w:val="00826752"/>
    <w:rsid w:val="00831F48"/>
    <w:rsid w:val="008351C0"/>
    <w:rsid w:val="0084446A"/>
    <w:rsid w:val="008602B5"/>
    <w:rsid w:val="008B0A84"/>
    <w:rsid w:val="008B14DE"/>
    <w:rsid w:val="008B5AFD"/>
    <w:rsid w:val="0090222F"/>
    <w:rsid w:val="00906AED"/>
    <w:rsid w:val="00922015"/>
    <w:rsid w:val="009230F4"/>
    <w:rsid w:val="009448C2"/>
    <w:rsid w:val="009B7F5C"/>
    <w:rsid w:val="009C5119"/>
    <w:rsid w:val="009E627A"/>
    <w:rsid w:val="00A116D0"/>
    <w:rsid w:val="00A1614B"/>
    <w:rsid w:val="00A24BE3"/>
    <w:rsid w:val="00A702FC"/>
    <w:rsid w:val="00A80BED"/>
    <w:rsid w:val="00AB6E3C"/>
    <w:rsid w:val="00AC4FC3"/>
    <w:rsid w:val="00AD3D0D"/>
    <w:rsid w:val="00AE6AA8"/>
    <w:rsid w:val="00B00CD8"/>
    <w:rsid w:val="00B04C6A"/>
    <w:rsid w:val="00B11269"/>
    <w:rsid w:val="00B169A3"/>
    <w:rsid w:val="00B25A5D"/>
    <w:rsid w:val="00B80F37"/>
    <w:rsid w:val="00BA4E64"/>
    <w:rsid w:val="00BA659C"/>
    <w:rsid w:val="00BE6776"/>
    <w:rsid w:val="00BF4D70"/>
    <w:rsid w:val="00C2099A"/>
    <w:rsid w:val="00C241EE"/>
    <w:rsid w:val="00C322FD"/>
    <w:rsid w:val="00C361FC"/>
    <w:rsid w:val="00C36C29"/>
    <w:rsid w:val="00C45CDB"/>
    <w:rsid w:val="00C63BAA"/>
    <w:rsid w:val="00C8203B"/>
    <w:rsid w:val="00C8623A"/>
    <w:rsid w:val="00CB513C"/>
    <w:rsid w:val="00CC0E81"/>
    <w:rsid w:val="00CC7BAC"/>
    <w:rsid w:val="00D37697"/>
    <w:rsid w:val="00D52A3E"/>
    <w:rsid w:val="00D64459"/>
    <w:rsid w:val="00D70006"/>
    <w:rsid w:val="00D73EF6"/>
    <w:rsid w:val="00D75607"/>
    <w:rsid w:val="00DE3821"/>
    <w:rsid w:val="00E02785"/>
    <w:rsid w:val="00E07205"/>
    <w:rsid w:val="00E13A06"/>
    <w:rsid w:val="00E16C17"/>
    <w:rsid w:val="00E45637"/>
    <w:rsid w:val="00E51D06"/>
    <w:rsid w:val="00E65A84"/>
    <w:rsid w:val="00E92643"/>
    <w:rsid w:val="00E97E6B"/>
    <w:rsid w:val="00ED4333"/>
    <w:rsid w:val="00ED4CE4"/>
    <w:rsid w:val="00F450A9"/>
    <w:rsid w:val="00F46930"/>
    <w:rsid w:val="00F631DD"/>
    <w:rsid w:val="00F65547"/>
    <w:rsid w:val="00F729AF"/>
    <w:rsid w:val="00F74422"/>
    <w:rsid w:val="00FB0A72"/>
    <w:rsid w:val="00FC2E14"/>
    <w:rsid w:val="00FC5BA5"/>
    <w:rsid w:val="00FD57DD"/>
    <w:rsid w:val="00FD78C1"/>
    <w:rsid w:val="00FE21DE"/>
    <w:rsid w:val="115C30A8"/>
    <w:rsid w:val="18F737C0"/>
    <w:rsid w:val="3C1B10D8"/>
    <w:rsid w:val="57B217FC"/>
    <w:rsid w:val="6C3529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qFormat/>
    <w:uiPriority w:val="99"/>
    <w:pPr>
      <w:jc w:val="left"/>
    </w:pPr>
  </w:style>
  <w:style w:type="paragraph" w:styleId="3">
    <w:name w:val="Date"/>
    <w:basedOn w:val="1"/>
    <w:next w:val="1"/>
    <w:link w:val="11"/>
    <w:semiHidden/>
    <w:qFormat/>
    <w:uiPriority w:val="99"/>
    <w:pPr>
      <w:ind w:left="100" w:leftChars="2500"/>
    </w:pPr>
  </w:style>
  <w:style w:type="paragraph" w:styleId="4">
    <w:name w:val="Balloon Text"/>
    <w:basedOn w:val="1"/>
    <w:link w:val="17"/>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qFormat/>
    <w:uiPriority w:val="99"/>
    <w:rPr>
      <w:b/>
      <w:bCs/>
    </w:rPr>
  </w:style>
  <w:style w:type="character" w:styleId="10">
    <w:name w:val="annotation reference"/>
    <w:semiHidden/>
    <w:qFormat/>
    <w:uiPriority w:val="99"/>
    <w:rPr>
      <w:rFonts w:cs="Times New Roman"/>
      <w:sz w:val="21"/>
      <w:szCs w:val="21"/>
    </w:rPr>
  </w:style>
  <w:style w:type="character" w:customStyle="1" w:styleId="11">
    <w:name w:val="日期 Char"/>
    <w:link w:val="3"/>
    <w:semiHidden/>
    <w:qFormat/>
    <w:locked/>
    <w:uiPriority w:val="99"/>
    <w:rPr>
      <w:rFonts w:ascii="Times New Roman" w:hAnsi="Times New Roman" w:eastAsia="宋体" w:cs="Times New Roman"/>
      <w:sz w:val="24"/>
      <w:szCs w:val="24"/>
    </w:rPr>
  </w:style>
  <w:style w:type="paragraph" w:styleId="12">
    <w:name w:val="List Paragraph"/>
    <w:basedOn w:val="1"/>
    <w:qFormat/>
    <w:uiPriority w:val="99"/>
    <w:pPr>
      <w:ind w:firstLine="420" w:firstLineChars="200"/>
    </w:pPr>
  </w:style>
  <w:style w:type="character" w:customStyle="1" w:styleId="13">
    <w:name w:val="页眉 Char"/>
    <w:link w:val="6"/>
    <w:semiHidden/>
    <w:qFormat/>
    <w:uiPriority w:val="99"/>
    <w:rPr>
      <w:rFonts w:ascii="Times New Roman" w:hAnsi="Times New Roman"/>
      <w:sz w:val="18"/>
      <w:szCs w:val="18"/>
    </w:rPr>
  </w:style>
  <w:style w:type="character" w:customStyle="1" w:styleId="14">
    <w:name w:val="页脚 Char"/>
    <w:link w:val="5"/>
    <w:semiHidden/>
    <w:qFormat/>
    <w:uiPriority w:val="99"/>
    <w:rPr>
      <w:rFonts w:ascii="Times New Roman" w:hAnsi="Times New Roman"/>
      <w:sz w:val="18"/>
      <w:szCs w:val="18"/>
    </w:rPr>
  </w:style>
  <w:style w:type="character" w:customStyle="1" w:styleId="15">
    <w:name w:val="批注文字 Char"/>
    <w:link w:val="2"/>
    <w:semiHidden/>
    <w:qFormat/>
    <w:uiPriority w:val="99"/>
    <w:rPr>
      <w:rFonts w:ascii="Times New Roman" w:hAnsi="Times New Roman"/>
      <w:szCs w:val="24"/>
    </w:rPr>
  </w:style>
  <w:style w:type="character" w:customStyle="1" w:styleId="16">
    <w:name w:val="批注主题 Char"/>
    <w:link w:val="7"/>
    <w:semiHidden/>
    <w:qFormat/>
    <w:uiPriority w:val="99"/>
    <w:rPr>
      <w:rFonts w:ascii="Times New Roman" w:hAnsi="Times New Roman"/>
      <w:b/>
      <w:bCs/>
      <w:szCs w:val="24"/>
    </w:rPr>
  </w:style>
  <w:style w:type="character" w:customStyle="1" w:styleId="17">
    <w:name w:val="批注框文本 Char"/>
    <w:link w:val="4"/>
    <w:semiHidden/>
    <w:qFormat/>
    <w:uiPriority w:val="99"/>
    <w:rPr>
      <w:rFonts w:ascii="Times New Roman" w:hAnsi="Times New Roman"/>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94</Words>
  <Characters>542</Characters>
  <Lines>4</Lines>
  <Paragraphs>1</Paragraphs>
  <TotalTime>1</TotalTime>
  <ScaleCrop>false</ScaleCrop>
  <LinksUpToDate>false</LinksUpToDate>
  <CharactersWithSpaces>635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2020-11-09T07:14:00Z</dcterms:created>
  <dc:creator>微软用户</dc:creator>
  <cp:lastModifiedBy>Frog°</cp:lastModifiedBy>
  <cp:lastPrinted>2017-11-23T03:16:00Z</cp:lastPrinted>
  <dcterms:modified xsi:type="dcterms:W3CDTF">2022-11-04T02:10:52Z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0151BD7875D545249079F2F9F4587215</vt:lpwstr>
  </property>
</Properties>
</file>